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国务院关于优化科研管理</w:t>
      </w:r>
      <w:bookmarkStart w:id="0" w:name="_GoBack"/>
      <w:bookmarkEnd w:id="0"/>
      <w:r>
        <w:rPr>
          <w:rStyle w:val="4"/>
          <w:rFonts w:hint="eastAsia" w:ascii="宋体" w:hAnsi="宋体" w:eastAsia="宋体" w:cs="宋体"/>
          <w:i w:val="0"/>
          <w:caps w:val="0"/>
          <w:color w:val="000000"/>
          <w:spacing w:val="0"/>
          <w:sz w:val="24"/>
          <w:szCs w:val="24"/>
          <w:bdr w:val="none" w:color="auto" w:sz="0" w:space="0"/>
        </w:rPr>
        <w:t>提升科研绩效若干措施的通知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国发〔2018〕25号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一、优化科研项目和经费管理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推行“材料一次报送”制度。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六）避免重复多头检查。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二、完善有利于创新的评价激励制度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七）切实精简人才“帽子”。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九）加大对承担国家关键领域核心技术攻关任务科研人员的薪酬激励。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三、强化科研项目绩效评价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二）严格依据任务书开展综合绩效评价。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四、完善分级责任担当机制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五、开展基于绩效、诚信和能力的科研管理改革试点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科技部、财政部会同教育部、中科院在教育部直属高校和中科院所属科研院所中选择部分创新能力和潜力突出、创新绩效显著、科研诚信状况良好的单位开展支持力度更大的“绿色通道”改革试点。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2018年7月18日</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C67FB"/>
    <w:rsid w:val="316C67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2018-07-25T00:55:00Z</dcterms:created>
  <dc:creator>黎峥</dc:creator>
  <cp:lastModifiedBy>黎峥</cp:lastModifiedBy>
  <dcterms:modified xsi:type="dcterms:W3CDTF">2018-07-25T01:34:02Z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